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A99" w:rsidRPr="009A1BE9" w:rsidRDefault="00F04A99" w:rsidP="009A1B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BE9">
        <w:rPr>
          <w:rFonts w:ascii="Times New Roman" w:hAnsi="Times New Roman" w:cs="Times New Roman"/>
          <w:b/>
          <w:sz w:val="24"/>
          <w:szCs w:val="24"/>
        </w:rPr>
        <w:t>Te</w:t>
      </w:r>
      <w:r w:rsidR="009A1BE9" w:rsidRPr="009A1BE9">
        <w:rPr>
          <w:rFonts w:ascii="Times New Roman" w:hAnsi="Times New Roman" w:cs="Times New Roman"/>
          <w:b/>
          <w:sz w:val="24"/>
          <w:szCs w:val="24"/>
        </w:rPr>
        <w:t xml:space="preserve">matyka zajęć z żywienia </w:t>
      </w:r>
      <w:r w:rsidR="002C16C1">
        <w:rPr>
          <w:rFonts w:ascii="Times New Roman" w:hAnsi="Times New Roman" w:cs="Times New Roman"/>
          <w:b/>
          <w:sz w:val="24"/>
          <w:szCs w:val="24"/>
        </w:rPr>
        <w:t xml:space="preserve">w chorobach przewodu pokarmowego </w:t>
      </w:r>
      <w:r w:rsidRPr="009A1BE9">
        <w:rPr>
          <w:rFonts w:ascii="Times New Roman" w:hAnsi="Times New Roman" w:cs="Times New Roman"/>
          <w:b/>
          <w:sz w:val="24"/>
          <w:szCs w:val="24"/>
        </w:rPr>
        <w:t>dla studentów</w:t>
      </w:r>
    </w:p>
    <w:p w:rsidR="00F04A99" w:rsidRPr="009A1BE9" w:rsidRDefault="00F04A99" w:rsidP="009A1B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BE9">
        <w:rPr>
          <w:rFonts w:ascii="Times New Roman" w:hAnsi="Times New Roman" w:cs="Times New Roman"/>
          <w:b/>
          <w:sz w:val="24"/>
          <w:szCs w:val="24"/>
        </w:rPr>
        <w:t xml:space="preserve">V roku </w:t>
      </w:r>
      <w:r w:rsidR="009A1BE9" w:rsidRPr="009A1BE9">
        <w:rPr>
          <w:rFonts w:ascii="Times New Roman" w:hAnsi="Times New Roman" w:cs="Times New Roman"/>
          <w:b/>
          <w:sz w:val="24"/>
          <w:szCs w:val="24"/>
        </w:rPr>
        <w:t xml:space="preserve">dietetyki </w:t>
      </w:r>
      <w:r w:rsidRPr="009A1BE9">
        <w:rPr>
          <w:rFonts w:ascii="Times New Roman" w:hAnsi="Times New Roman" w:cs="Times New Roman"/>
          <w:b/>
          <w:sz w:val="24"/>
          <w:szCs w:val="24"/>
        </w:rPr>
        <w:t xml:space="preserve">Wydziału </w:t>
      </w:r>
      <w:r w:rsidR="009A1BE9" w:rsidRPr="009A1BE9">
        <w:rPr>
          <w:rFonts w:ascii="Times New Roman" w:hAnsi="Times New Roman" w:cs="Times New Roman"/>
          <w:b/>
          <w:sz w:val="24"/>
          <w:szCs w:val="24"/>
        </w:rPr>
        <w:t>Nauk o Zdrowiu</w:t>
      </w:r>
      <w:r w:rsidR="00540E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0EE9">
        <w:rPr>
          <w:rFonts w:ascii="Times New Roman" w:hAnsi="Times New Roman" w:cs="Times New Roman"/>
          <w:b/>
          <w:sz w:val="24"/>
          <w:szCs w:val="24"/>
        </w:rPr>
        <w:br/>
      </w:r>
      <w:bookmarkStart w:id="0" w:name="_GoBack"/>
      <w:bookmarkEnd w:id="0"/>
    </w:p>
    <w:p w:rsidR="002C16C1" w:rsidRDefault="002C16C1" w:rsidP="00531A4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C16C1" w:rsidRDefault="00531A4D" w:rsidP="00531A4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A1BE9">
        <w:rPr>
          <w:rFonts w:ascii="Times New Roman" w:hAnsi="Times New Roman" w:cs="Times New Roman"/>
          <w:b/>
          <w:sz w:val="24"/>
          <w:szCs w:val="24"/>
        </w:rPr>
        <w:t>ĆWICZENIA</w:t>
      </w:r>
    </w:p>
    <w:p w:rsidR="002C16C1" w:rsidRDefault="002C16C1" w:rsidP="00531A4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C16C1" w:rsidRPr="002C16C1" w:rsidRDefault="002C16C1" w:rsidP="002C16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C16C1">
        <w:rPr>
          <w:rFonts w:ascii="Times New Roman" w:hAnsi="Times New Roman" w:cs="Times New Roman"/>
          <w:b/>
          <w:sz w:val="20"/>
          <w:szCs w:val="20"/>
        </w:rPr>
        <w:t xml:space="preserve">1. Trawienie i wchłanianie składników pokarmowych, rola przewodu pokarmowego. Konsekwencje ogólnoustrojowe złego trawienia wchłaniania pokarmów. Niedożywienie. </w:t>
      </w:r>
    </w:p>
    <w:p w:rsidR="002C16C1" w:rsidRPr="002C16C1" w:rsidRDefault="002C16C1" w:rsidP="002C16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C16C1">
        <w:rPr>
          <w:rFonts w:ascii="Times New Roman" w:hAnsi="Times New Roman" w:cs="Times New Roman"/>
          <w:b/>
          <w:sz w:val="20"/>
          <w:szCs w:val="20"/>
        </w:rPr>
        <w:t>2. Jednostki chorobowe przebiegające z zaburzeniami trawienie i wchłaniania pokarmów. Choroba trzewna.</w:t>
      </w:r>
    </w:p>
    <w:p w:rsidR="002C16C1" w:rsidRPr="002C16C1" w:rsidRDefault="002C16C1" w:rsidP="002C16C1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C16C1">
        <w:rPr>
          <w:rFonts w:ascii="Times New Roman" w:hAnsi="Times New Roman" w:cs="Times New Roman"/>
          <w:b/>
          <w:sz w:val="20"/>
          <w:szCs w:val="20"/>
        </w:rPr>
        <w:t xml:space="preserve">3. Żywienie w chorobach zależnych od kwasu solnego – choroba </w:t>
      </w:r>
      <w:proofErr w:type="spellStart"/>
      <w:r w:rsidRPr="002C16C1">
        <w:rPr>
          <w:rFonts w:ascii="Times New Roman" w:hAnsi="Times New Roman" w:cs="Times New Roman"/>
          <w:b/>
          <w:sz w:val="20"/>
          <w:szCs w:val="20"/>
        </w:rPr>
        <w:t>refluksowa</w:t>
      </w:r>
      <w:proofErr w:type="spellEnd"/>
      <w:r w:rsidRPr="002C16C1">
        <w:rPr>
          <w:rFonts w:ascii="Times New Roman" w:hAnsi="Times New Roman" w:cs="Times New Roman"/>
          <w:b/>
          <w:sz w:val="20"/>
          <w:szCs w:val="20"/>
        </w:rPr>
        <w:t xml:space="preserve"> przełyku, choroba wrzodowa żołądka i dwunastnicy. Zasady żywienia w zapaleniach żołądka.</w:t>
      </w:r>
    </w:p>
    <w:p w:rsidR="002C16C1" w:rsidRPr="002C16C1" w:rsidRDefault="002C16C1" w:rsidP="002C16C1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C16C1">
        <w:rPr>
          <w:rFonts w:ascii="Times New Roman" w:hAnsi="Times New Roman" w:cs="Times New Roman"/>
          <w:b/>
          <w:sz w:val="20"/>
          <w:szCs w:val="20"/>
        </w:rPr>
        <w:t xml:space="preserve">4. Nietolerancja i alergia pokarmowa. Objawy, leczenie żywieniowe. </w:t>
      </w:r>
    </w:p>
    <w:p w:rsidR="002C16C1" w:rsidRPr="002C16C1" w:rsidRDefault="002C16C1" w:rsidP="002C16C1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C16C1">
        <w:rPr>
          <w:rFonts w:ascii="Times New Roman" w:hAnsi="Times New Roman" w:cs="Times New Roman"/>
          <w:b/>
          <w:sz w:val="20"/>
          <w:szCs w:val="20"/>
        </w:rPr>
        <w:t>5. Zasady żywienia w chorobach czynnościowych przewodu pokarmowego. Zasady żywienia w IBS, dyspepsji czynnościowej, wzdęciach.</w:t>
      </w:r>
    </w:p>
    <w:p w:rsidR="002C16C1" w:rsidRPr="002C16C1" w:rsidRDefault="002C16C1" w:rsidP="002C16C1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C16C1">
        <w:rPr>
          <w:rFonts w:ascii="Times New Roman" w:hAnsi="Times New Roman" w:cs="Times New Roman"/>
          <w:b/>
          <w:sz w:val="20"/>
          <w:szCs w:val="20"/>
        </w:rPr>
        <w:t>6. Postępowanie żywieniowe w biegunkach o różnej etiologii. Rozpoznawanie przyczyn i rodzaju biegunki.</w:t>
      </w:r>
    </w:p>
    <w:p w:rsidR="002C16C1" w:rsidRPr="002C16C1" w:rsidRDefault="002C16C1" w:rsidP="002C16C1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C16C1">
        <w:rPr>
          <w:rFonts w:ascii="Times New Roman" w:hAnsi="Times New Roman" w:cs="Times New Roman"/>
          <w:b/>
          <w:sz w:val="20"/>
          <w:szCs w:val="20"/>
        </w:rPr>
        <w:t>7. Postępowanie żywieniowe w zaparciach. Ustalenie przyczyn i rodzaju zaparcia.</w:t>
      </w:r>
    </w:p>
    <w:p w:rsidR="002C16C1" w:rsidRPr="002C16C1" w:rsidRDefault="002C16C1" w:rsidP="002C16C1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C16C1">
        <w:rPr>
          <w:rFonts w:ascii="Times New Roman" w:hAnsi="Times New Roman" w:cs="Times New Roman"/>
          <w:b/>
          <w:sz w:val="20"/>
          <w:szCs w:val="20"/>
        </w:rPr>
        <w:t>8. Znaczenie żywienia w nieswoistych zapaleniach jelit. Żywienie w okresie zaostrzenia i remisji choroby. Zapalenie jelita po radioterapii -  rola żywienia.</w:t>
      </w:r>
    </w:p>
    <w:p w:rsidR="002C16C1" w:rsidRPr="002C16C1" w:rsidRDefault="002C16C1" w:rsidP="002C16C1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C16C1">
        <w:rPr>
          <w:rFonts w:ascii="Times New Roman" w:hAnsi="Times New Roman" w:cs="Times New Roman"/>
          <w:b/>
          <w:sz w:val="20"/>
          <w:szCs w:val="20"/>
        </w:rPr>
        <w:t xml:space="preserve">9. Choroba </w:t>
      </w:r>
      <w:proofErr w:type="spellStart"/>
      <w:r w:rsidRPr="002C16C1">
        <w:rPr>
          <w:rFonts w:ascii="Times New Roman" w:hAnsi="Times New Roman" w:cs="Times New Roman"/>
          <w:b/>
          <w:sz w:val="20"/>
          <w:szCs w:val="20"/>
        </w:rPr>
        <w:t>uchyłkowa</w:t>
      </w:r>
      <w:proofErr w:type="spellEnd"/>
      <w:r w:rsidRPr="002C16C1">
        <w:rPr>
          <w:rFonts w:ascii="Times New Roman" w:hAnsi="Times New Roman" w:cs="Times New Roman"/>
          <w:b/>
          <w:sz w:val="20"/>
          <w:szCs w:val="20"/>
        </w:rPr>
        <w:t xml:space="preserve"> jelita grubego. Przyczyny, zapobieganie, leczenie – aspekty żywieniowe.</w:t>
      </w:r>
    </w:p>
    <w:p w:rsidR="002C16C1" w:rsidRPr="002C16C1" w:rsidRDefault="002C16C1" w:rsidP="002C16C1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C16C1">
        <w:rPr>
          <w:rFonts w:ascii="Times New Roman" w:hAnsi="Times New Roman" w:cs="Times New Roman"/>
          <w:b/>
          <w:sz w:val="20"/>
          <w:szCs w:val="20"/>
        </w:rPr>
        <w:t>10. Zaburzenia funkcji przewodu pokarmowego w chorobach ogólnoustrojowych – cukrzyca, zespół metaboliczny, choroby tarczycy, choroby tkanki łącznej – zalecenia żywieniowe.</w:t>
      </w:r>
    </w:p>
    <w:p w:rsidR="002C16C1" w:rsidRPr="002C16C1" w:rsidRDefault="002C16C1" w:rsidP="002C16C1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C16C1">
        <w:rPr>
          <w:rFonts w:ascii="Times New Roman" w:hAnsi="Times New Roman" w:cs="Times New Roman"/>
          <w:b/>
          <w:sz w:val="20"/>
          <w:szCs w:val="20"/>
        </w:rPr>
        <w:t xml:space="preserve">11. Niealkoholowa </w:t>
      </w:r>
      <w:proofErr w:type="spellStart"/>
      <w:r w:rsidRPr="002C16C1">
        <w:rPr>
          <w:rFonts w:ascii="Times New Roman" w:hAnsi="Times New Roman" w:cs="Times New Roman"/>
          <w:b/>
          <w:sz w:val="20"/>
          <w:szCs w:val="20"/>
        </w:rPr>
        <w:t>stłuszczeniowa</w:t>
      </w:r>
      <w:proofErr w:type="spellEnd"/>
      <w:r w:rsidRPr="002C16C1">
        <w:rPr>
          <w:rFonts w:ascii="Times New Roman" w:hAnsi="Times New Roman" w:cs="Times New Roman"/>
          <w:b/>
          <w:sz w:val="20"/>
          <w:szCs w:val="20"/>
        </w:rPr>
        <w:t xml:space="preserve"> choroba wątroby – znaczenie żywienia w profilaktyce i leczeniu.</w:t>
      </w:r>
    </w:p>
    <w:p w:rsidR="002C16C1" w:rsidRPr="002C16C1" w:rsidRDefault="002C16C1" w:rsidP="002C16C1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C16C1">
        <w:rPr>
          <w:rFonts w:ascii="Times New Roman" w:hAnsi="Times New Roman" w:cs="Times New Roman"/>
          <w:b/>
          <w:sz w:val="20"/>
          <w:szCs w:val="20"/>
        </w:rPr>
        <w:t>12. Ostre zapalenie trzustki – znaczenie leczenia żywieniowego, sposób postępowania żywieniowego.</w:t>
      </w:r>
    </w:p>
    <w:p w:rsidR="002C16C1" w:rsidRPr="002C16C1" w:rsidRDefault="002C16C1" w:rsidP="002C16C1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C16C1">
        <w:rPr>
          <w:rFonts w:ascii="Times New Roman" w:hAnsi="Times New Roman" w:cs="Times New Roman"/>
          <w:b/>
          <w:sz w:val="20"/>
          <w:szCs w:val="20"/>
        </w:rPr>
        <w:t>13. Ostre zapalenie trzustki – leczenie w okresie rekonwalescencji.</w:t>
      </w:r>
    </w:p>
    <w:p w:rsidR="002C16C1" w:rsidRPr="002C16C1" w:rsidRDefault="002C16C1" w:rsidP="002C16C1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C16C1">
        <w:rPr>
          <w:rFonts w:ascii="Times New Roman" w:hAnsi="Times New Roman" w:cs="Times New Roman"/>
          <w:b/>
          <w:sz w:val="20"/>
          <w:szCs w:val="20"/>
        </w:rPr>
        <w:t>14. Przewlekłe zapalenie trzustki – znaczenie żywienia w etiologii i leczeniu choroby.</w:t>
      </w:r>
    </w:p>
    <w:p w:rsidR="002C16C1" w:rsidRPr="002C16C1" w:rsidRDefault="002C16C1" w:rsidP="002C16C1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C16C1">
        <w:rPr>
          <w:rFonts w:ascii="Times New Roman" w:hAnsi="Times New Roman" w:cs="Times New Roman"/>
          <w:b/>
          <w:sz w:val="20"/>
          <w:szCs w:val="20"/>
        </w:rPr>
        <w:t>15. Kamica żółciowa - znaczenie żywienia w etiologii i leczeniu.</w:t>
      </w:r>
    </w:p>
    <w:p w:rsidR="002C16C1" w:rsidRPr="002C16C1" w:rsidRDefault="002C16C1" w:rsidP="002C16C1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C16C1">
        <w:rPr>
          <w:rFonts w:ascii="Times New Roman" w:hAnsi="Times New Roman" w:cs="Times New Roman"/>
          <w:b/>
          <w:sz w:val="20"/>
          <w:szCs w:val="20"/>
        </w:rPr>
        <w:t>16. Niedożywienia w chorobach przewodu pokarmowego.</w:t>
      </w:r>
    </w:p>
    <w:p w:rsidR="002C16C1" w:rsidRPr="002C16C1" w:rsidRDefault="002C16C1" w:rsidP="002C16C1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C16C1">
        <w:rPr>
          <w:rFonts w:ascii="Times New Roman" w:hAnsi="Times New Roman" w:cs="Times New Roman"/>
          <w:b/>
          <w:sz w:val="20"/>
          <w:szCs w:val="20"/>
        </w:rPr>
        <w:t>17. Leczenie żywieniowe pacjentów po zabiegach operacyjnych w zakresie przewodu pokarmowego.</w:t>
      </w:r>
    </w:p>
    <w:p w:rsidR="002C16C1" w:rsidRPr="002C16C1" w:rsidRDefault="002C16C1" w:rsidP="002C16C1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C16C1">
        <w:rPr>
          <w:rFonts w:ascii="Times New Roman" w:hAnsi="Times New Roman" w:cs="Times New Roman"/>
          <w:b/>
          <w:sz w:val="20"/>
          <w:szCs w:val="20"/>
        </w:rPr>
        <w:t xml:space="preserve">18. Znaczenie żywienia w profilaktyce chorób nowotworowych przewodu pokarmowego.  </w:t>
      </w:r>
    </w:p>
    <w:p w:rsidR="002C16C1" w:rsidRPr="002C16C1" w:rsidRDefault="002C16C1" w:rsidP="002C16C1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C16C1">
        <w:rPr>
          <w:rFonts w:ascii="Times New Roman" w:hAnsi="Times New Roman" w:cs="Times New Roman"/>
          <w:b/>
          <w:sz w:val="20"/>
          <w:szCs w:val="20"/>
        </w:rPr>
        <w:t>19. Rola żywienia w wybranych chorobach genetycznie uwarunkowanych – hemochromatoza, mukowiscydoza, choroba Wilsona.</w:t>
      </w:r>
    </w:p>
    <w:p w:rsidR="00F662C6" w:rsidRPr="002C16C1" w:rsidRDefault="00F662C6" w:rsidP="002C16C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2C16C1" w:rsidRPr="002C16C1" w:rsidRDefault="002C16C1" w:rsidP="002C16C1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2C16C1">
        <w:rPr>
          <w:rFonts w:ascii="Times New Roman" w:hAnsi="Times New Roman" w:cs="Times New Roman"/>
          <w:b/>
          <w:bCs/>
          <w:sz w:val="20"/>
          <w:szCs w:val="20"/>
        </w:rPr>
        <w:t xml:space="preserve">Literatura podstawowa: </w:t>
      </w:r>
    </w:p>
    <w:p w:rsidR="002C16C1" w:rsidRPr="002C16C1" w:rsidRDefault="002C16C1" w:rsidP="002C16C1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2C16C1">
        <w:rPr>
          <w:rFonts w:ascii="Times New Roman" w:hAnsi="Times New Roman" w:cs="Times New Roman"/>
          <w:bCs/>
          <w:sz w:val="20"/>
          <w:szCs w:val="20"/>
        </w:rPr>
        <w:t>1. Ciborowska H., Rudnicka A.: Dietetyka, żywienie zdrowego i chorego człowieka. PZWL, Warszawa 2014.</w:t>
      </w:r>
    </w:p>
    <w:p w:rsidR="002C16C1" w:rsidRPr="002C16C1" w:rsidRDefault="002C16C1" w:rsidP="002C16C1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2. </w:t>
      </w:r>
      <w:r w:rsidRPr="002C16C1">
        <w:rPr>
          <w:rFonts w:ascii="Times New Roman" w:hAnsi="Times New Roman" w:cs="Times New Roman"/>
          <w:bCs/>
          <w:sz w:val="20"/>
          <w:szCs w:val="20"/>
        </w:rPr>
        <w:t>Jarosz M. (red.): Zasady prawidłowego żywienia chorych w szpitalach. IŻŻ, Warszawa 2011.</w:t>
      </w:r>
    </w:p>
    <w:p w:rsidR="002C16C1" w:rsidRPr="002C16C1" w:rsidRDefault="002C16C1" w:rsidP="002C16C1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2C16C1">
        <w:rPr>
          <w:rFonts w:ascii="Times New Roman" w:hAnsi="Times New Roman" w:cs="Times New Roman"/>
          <w:bCs/>
          <w:sz w:val="20"/>
          <w:szCs w:val="20"/>
        </w:rPr>
        <w:t>3. Poniewierka E. (red.): Żywienie w chorobach przewodu pokarmowego i zaburzeniach metaboli</w:t>
      </w:r>
      <w:r>
        <w:rPr>
          <w:rFonts w:ascii="Times New Roman" w:hAnsi="Times New Roman" w:cs="Times New Roman"/>
          <w:bCs/>
          <w:sz w:val="20"/>
          <w:szCs w:val="20"/>
        </w:rPr>
        <w:t xml:space="preserve">cznych.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Cornetis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, Wrocław 2011.</w:t>
      </w:r>
    </w:p>
    <w:p w:rsidR="002C16C1" w:rsidRPr="002C16C1" w:rsidRDefault="002C16C1" w:rsidP="002C16C1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2C16C1">
        <w:rPr>
          <w:rFonts w:ascii="Times New Roman" w:hAnsi="Times New Roman" w:cs="Times New Roman"/>
          <w:b/>
          <w:bCs/>
          <w:sz w:val="20"/>
          <w:szCs w:val="20"/>
        </w:rPr>
        <w:t>Literatura uzupełniaj</w:t>
      </w:r>
      <w:r w:rsidRPr="002C16C1">
        <w:rPr>
          <w:rFonts w:ascii="Times New Roman" w:eastAsia="TimesNewRoman,Bold" w:hAnsi="Times New Roman" w:cs="Times New Roman"/>
          <w:b/>
          <w:bCs/>
          <w:sz w:val="20"/>
          <w:szCs w:val="20"/>
        </w:rPr>
        <w:t>ą</w:t>
      </w:r>
      <w:r w:rsidRPr="002C16C1">
        <w:rPr>
          <w:rFonts w:ascii="Times New Roman" w:hAnsi="Times New Roman" w:cs="Times New Roman"/>
          <w:b/>
          <w:bCs/>
          <w:sz w:val="20"/>
          <w:szCs w:val="20"/>
        </w:rPr>
        <w:t xml:space="preserve">ca i inne pomoce: </w:t>
      </w:r>
    </w:p>
    <w:p w:rsidR="002C16C1" w:rsidRPr="002C16C1" w:rsidRDefault="002C16C1" w:rsidP="002C16C1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2C16C1">
        <w:rPr>
          <w:rFonts w:ascii="Times New Roman" w:hAnsi="Times New Roman" w:cs="Times New Roman"/>
          <w:bCs/>
          <w:sz w:val="20"/>
          <w:szCs w:val="20"/>
        </w:rPr>
        <w:t xml:space="preserve">1. Sobotka L. (red.): Podstawy żywienia klinicznego. </w:t>
      </w:r>
      <w:proofErr w:type="spellStart"/>
      <w:r w:rsidRPr="002C16C1">
        <w:rPr>
          <w:rFonts w:ascii="Times New Roman" w:hAnsi="Times New Roman" w:cs="Times New Roman"/>
          <w:bCs/>
          <w:sz w:val="20"/>
          <w:szCs w:val="20"/>
        </w:rPr>
        <w:t>Scientifica</w:t>
      </w:r>
      <w:proofErr w:type="spellEnd"/>
      <w:r w:rsidRPr="002C16C1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2C16C1">
        <w:rPr>
          <w:rFonts w:ascii="Times New Roman" w:hAnsi="Times New Roman" w:cs="Times New Roman"/>
          <w:bCs/>
          <w:sz w:val="20"/>
          <w:szCs w:val="20"/>
        </w:rPr>
        <w:t>Sp.z</w:t>
      </w:r>
      <w:proofErr w:type="spellEnd"/>
      <w:r w:rsidRPr="002C16C1">
        <w:rPr>
          <w:rFonts w:ascii="Times New Roman" w:hAnsi="Times New Roman" w:cs="Times New Roman"/>
          <w:bCs/>
          <w:sz w:val="20"/>
          <w:szCs w:val="20"/>
        </w:rPr>
        <w:t xml:space="preserve"> o.o., Warszawa 2013.</w:t>
      </w:r>
    </w:p>
    <w:p w:rsidR="002C16C1" w:rsidRPr="002C16C1" w:rsidRDefault="002C16C1" w:rsidP="002C16C1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2C16C1">
        <w:rPr>
          <w:rFonts w:ascii="Times New Roman" w:hAnsi="Times New Roman" w:cs="Times New Roman"/>
          <w:bCs/>
          <w:sz w:val="20"/>
          <w:szCs w:val="20"/>
        </w:rPr>
        <w:t xml:space="preserve">2. </w:t>
      </w:r>
      <w:proofErr w:type="spellStart"/>
      <w:r w:rsidRPr="002C16C1">
        <w:rPr>
          <w:rFonts w:ascii="Times New Roman" w:hAnsi="Times New Roman" w:cs="Times New Roman"/>
          <w:bCs/>
          <w:sz w:val="20"/>
          <w:szCs w:val="20"/>
        </w:rPr>
        <w:t>Chevallier</w:t>
      </w:r>
      <w:proofErr w:type="spellEnd"/>
      <w:r w:rsidRPr="002C16C1">
        <w:rPr>
          <w:rFonts w:ascii="Times New Roman" w:hAnsi="Times New Roman" w:cs="Times New Roman"/>
          <w:bCs/>
          <w:sz w:val="20"/>
          <w:szCs w:val="20"/>
        </w:rPr>
        <w:t xml:space="preserve"> L, Gajewska D (red. wyd. pol.): 51 zaleceń dietetycznych w wybranych stanach chorobowych. </w:t>
      </w:r>
      <w:proofErr w:type="spellStart"/>
      <w:r w:rsidRPr="002C16C1">
        <w:rPr>
          <w:rFonts w:ascii="Times New Roman" w:hAnsi="Times New Roman" w:cs="Times New Roman"/>
          <w:bCs/>
          <w:sz w:val="20"/>
          <w:szCs w:val="20"/>
        </w:rPr>
        <w:t>Elsevier</w:t>
      </w:r>
      <w:proofErr w:type="spellEnd"/>
      <w:r w:rsidRPr="002C16C1">
        <w:rPr>
          <w:rFonts w:ascii="Times New Roman" w:hAnsi="Times New Roman" w:cs="Times New Roman"/>
          <w:bCs/>
          <w:sz w:val="20"/>
          <w:szCs w:val="20"/>
        </w:rPr>
        <w:t xml:space="preserve"> Urban &amp; Partner, Wrocław 2010.</w:t>
      </w:r>
    </w:p>
    <w:p w:rsidR="00531A4D" w:rsidRPr="002C16C1" w:rsidRDefault="002C16C1" w:rsidP="002C16C1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C16C1">
        <w:rPr>
          <w:rFonts w:ascii="Times New Roman" w:hAnsi="Times New Roman" w:cs="Times New Roman"/>
          <w:bCs/>
          <w:sz w:val="20"/>
          <w:szCs w:val="20"/>
        </w:rPr>
        <w:t xml:space="preserve">3. </w:t>
      </w:r>
      <w:proofErr w:type="spellStart"/>
      <w:r w:rsidRPr="002C16C1">
        <w:rPr>
          <w:rFonts w:ascii="Times New Roman" w:hAnsi="Times New Roman" w:cs="Times New Roman"/>
          <w:bCs/>
          <w:sz w:val="20"/>
          <w:szCs w:val="20"/>
        </w:rPr>
        <w:t>Gröber</w:t>
      </w:r>
      <w:proofErr w:type="spellEnd"/>
      <w:r w:rsidRPr="002C16C1">
        <w:rPr>
          <w:rFonts w:ascii="Times New Roman" w:hAnsi="Times New Roman" w:cs="Times New Roman"/>
          <w:bCs/>
          <w:sz w:val="20"/>
          <w:szCs w:val="20"/>
        </w:rPr>
        <w:t xml:space="preserve"> U., Wawer I. (red. wyd. pol.): Leki i mikroskładniki odżywcze. </w:t>
      </w:r>
      <w:proofErr w:type="spellStart"/>
      <w:r w:rsidRPr="002C16C1">
        <w:rPr>
          <w:rFonts w:ascii="Times New Roman" w:hAnsi="Times New Roman" w:cs="Times New Roman"/>
          <w:bCs/>
          <w:sz w:val="20"/>
          <w:szCs w:val="20"/>
        </w:rPr>
        <w:t>MedPharm</w:t>
      </w:r>
      <w:proofErr w:type="spellEnd"/>
      <w:r w:rsidRPr="002C16C1">
        <w:rPr>
          <w:rFonts w:ascii="Times New Roman" w:hAnsi="Times New Roman" w:cs="Times New Roman"/>
          <w:bCs/>
          <w:sz w:val="20"/>
          <w:szCs w:val="20"/>
        </w:rPr>
        <w:t xml:space="preserve"> Polska, Wrocław 2011</w:t>
      </w:r>
    </w:p>
    <w:sectPr w:rsidR="00531A4D" w:rsidRPr="002C1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10B2"/>
    <w:multiLevelType w:val="hybridMultilevel"/>
    <w:tmpl w:val="0DD64154"/>
    <w:lvl w:ilvl="0" w:tplc="23A6006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464E5A"/>
    <w:multiLevelType w:val="hybridMultilevel"/>
    <w:tmpl w:val="544091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06A55D2"/>
    <w:multiLevelType w:val="hybridMultilevel"/>
    <w:tmpl w:val="45122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EB4"/>
    <w:rsid w:val="00030ADD"/>
    <w:rsid w:val="00057147"/>
    <w:rsid w:val="0006241A"/>
    <w:rsid w:val="0008649A"/>
    <w:rsid w:val="000B0FB8"/>
    <w:rsid w:val="000E350B"/>
    <w:rsid w:val="00133342"/>
    <w:rsid w:val="00140459"/>
    <w:rsid w:val="001A7001"/>
    <w:rsid w:val="001C5DF8"/>
    <w:rsid w:val="001C7A1D"/>
    <w:rsid w:val="001D51BE"/>
    <w:rsid w:val="0022291E"/>
    <w:rsid w:val="0024027A"/>
    <w:rsid w:val="002469C7"/>
    <w:rsid w:val="00262C9E"/>
    <w:rsid w:val="002C16C1"/>
    <w:rsid w:val="002C25BB"/>
    <w:rsid w:val="00310896"/>
    <w:rsid w:val="00350058"/>
    <w:rsid w:val="00350D7C"/>
    <w:rsid w:val="0037638D"/>
    <w:rsid w:val="003822A5"/>
    <w:rsid w:val="003901D2"/>
    <w:rsid w:val="003947B7"/>
    <w:rsid w:val="004341A7"/>
    <w:rsid w:val="0045373A"/>
    <w:rsid w:val="00470BDE"/>
    <w:rsid w:val="004974CD"/>
    <w:rsid w:val="004C368C"/>
    <w:rsid w:val="004F7A66"/>
    <w:rsid w:val="004F7F1C"/>
    <w:rsid w:val="0053007B"/>
    <w:rsid w:val="00531A4D"/>
    <w:rsid w:val="00540EE9"/>
    <w:rsid w:val="0054645F"/>
    <w:rsid w:val="005549E7"/>
    <w:rsid w:val="00560AFA"/>
    <w:rsid w:val="00593B18"/>
    <w:rsid w:val="005B379F"/>
    <w:rsid w:val="005E5A3C"/>
    <w:rsid w:val="00603D2E"/>
    <w:rsid w:val="006227D1"/>
    <w:rsid w:val="006234D1"/>
    <w:rsid w:val="00654687"/>
    <w:rsid w:val="00691CE1"/>
    <w:rsid w:val="006B2C70"/>
    <w:rsid w:val="006E352F"/>
    <w:rsid w:val="006F1D55"/>
    <w:rsid w:val="006F3EB4"/>
    <w:rsid w:val="00716849"/>
    <w:rsid w:val="00755C2B"/>
    <w:rsid w:val="0076203F"/>
    <w:rsid w:val="007A2DA9"/>
    <w:rsid w:val="007B4075"/>
    <w:rsid w:val="007E4F7C"/>
    <w:rsid w:val="007E5FA7"/>
    <w:rsid w:val="00806A96"/>
    <w:rsid w:val="008D3099"/>
    <w:rsid w:val="008E2B97"/>
    <w:rsid w:val="008F4DF8"/>
    <w:rsid w:val="00907723"/>
    <w:rsid w:val="0093093A"/>
    <w:rsid w:val="00936B73"/>
    <w:rsid w:val="009637FC"/>
    <w:rsid w:val="00991AE7"/>
    <w:rsid w:val="00995A8C"/>
    <w:rsid w:val="009A0D82"/>
    <w:rsid w:val="009A1BE9"/>
    <w:rsid w:val="009B0BB6"/>
    <w:rsid w:val="009C4009"/>
    <w:rsid w:val="009D7621"/>
    <w:rsid w:val="009E5B68"/>
    <w:rsid w:val="00A059A5"/>
    <w:rsid w:val="00A14BA4"/>
    <w:rsid w:val="00A16168"/>
    <w:rsid w:val="00A73C69"/>
    <w:rsid w:val="00AC675A"/>
    <w:rsid w:val="00AE020A"/>
    <w:rsid w:val="00AE6481"/>
    <w:rsid w:val="00B457C1"/>
    <w:rsid w:val="00B47D8B"/>
    <w:rsid w:val="00B75B11"/>
    <w:rsid w:val="00BC556E"/>
    <w:rsid w:val="00BE2CF8"/>
    <w:rsid w:val="00C67B4A"/>
    <w:rsid w:val="00C77A53"/>
    <w:rsid w:val="00C80C74"/>
    <w:rsid w:val="00CB59B1"/>
    <w:rsid w:val="00CD04C1"/>
    <w:rsid w:val="00CE00F8"/>
    <w:rsid w:val="00D07E91"/>
    <w:rsid w:val="00D11414"/>
    <w:rsid w:val="00D16D26"/>
    <w:rsid w:val="00D204D2"/>
    <w:rsid w:val="00DF251C"/>
    <w:rsid w:val="00E40218"/>
    <w:rsid w:val="00E5726C"/>
    <w:rsid w:val="00E61739"/>
    <w:rsid w:val="00E9298D"/>
    <w:rsid w:val="00EB1F54"/>
    <w:rsid w:val="00EE5645"/>
    <w:rsid w:val="00EF6EFE"/>
    <w:rsid w:val="00F00A58"/>
    <w:rsid w:val="00F04A99"/>
    <w:rsid w:val="00F1759D"/>
    <w:rsid w:val="00F241CA"/>
    <w:rsid w:val="00F34516"/>
    <w:rsid w:val="00F662C6"/>
    <w:rsid w:val="00FA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1A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1A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1A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1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4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Przylądek Nadziei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neubauer</dc:creator>
  <cp:lastModifiedBy>Katarzyna Neubauer</cp:lastModifiedBy>
  <cp:revision>4</cp:revision>
  <cp:lastPrinted>2018-01-30T08:43:00Z</cp:lastPrinted>
  <dcterms:created xsi:type="dcterms:W3CDTF">2018-04-12T08:19:00Z</dcterms:created>
  <dcterms:modified xsi:type="dcterms:W3CDTF">2018-04-24T07:57:00Z</dcterms:modified>
</cp:coreProperties>
</file>